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F703D"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 xml:space="preserve">TALK TITLE: Researching in Archives </w:t>
      </w:r>
    </w:p>
    <w:p w14:paraId="5DF1B664" w14:textId="77777777" w:rsid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 xml:space="preserve">This talk is aimed at those who are not familiar with local archives and the records they hold. It will </w:t>
      </w:r>
      <w:proofErr w:type="gramStart"/>
      <w:r w:rsidRPr="003D5726">
        <w:rPr>
          <w:rFonts w:ascii="Calibri" w:eastAsia="Times New Roman" w:hAnsi="Calibri" w:cs="Times New Roman"/>
          <w:kern w:val="0"/>
          <w:szCs w:val="22"/>
          <w14:ligatures w14:val="none"/>
        </w:rPr>
        <w:t>provide an introduction to</w:t>
      </w:r>
      <w:proofErr w:type="gramEnd"/>
      <w:r w:rsidRPr="003D5726">
        <w:rPr>
          <w:rFonts w:ascii="Calibri" w:eastAsia="Times New Roman" w:hAnsi="Calibri" w:cs="Times New Roman"/>
          <w:kern w:val="0"/>
          <w:szCs w:val="22"/>
          <w14:ligatures w14:val="none"/>
        </w:rPr>
        <w:t xml:space="preserve"> the records which can be found in local archives which can help take your family history research further. The talk concentrates of records which are not yet digitised or available online and will take you through some examples of parish chest records (other than registers of baptisms, burials and marriages) to provide an insight into the type of information to be found. Whilst the talk is based on records found in my local archives in Surrey, the records discussed can be found in most local archives across England, subject to their survival.</w:t>
      </w:r>
    </w:p>
    <w:p w14:paraId="2D04C6D9" w14:textId="5513B822" w:rsidR="00433E56" w:rsidRPr="003D5726" w:rsidRDefault="00433E56" w:rsidP="00433E56">
      <w:pPr>
        <w:spacing w:line="252" w:lineRule="auto"/>
        <w:jc w:val="both"/>
        <w:rPr>
          <w:rFonts w:ascii="Calibri" w:eastAsia="Times New Roman" w:hAnsi="Calibri" w:cs="Times New Roman"/>
          <w:b/>
          <w:bCs/>
          <w:kern w:val="0"/>
          <w:szCs w:val="22"/>
          <w14:ligatures w14:val="none"/>
        </w:rPr>
      </w:pPr>
      <w:r>
        <w:rPr>
          <w:rFonts w:ascii="Calibri" w:eastAsia="Times New Roman" w:hAnsi="Calibri" w:cs="Times New Roman"/>
          <w:b/>
          <w:bCs/>
          <w:kern w:val="0"/>
          <w:szCs w:val="22"/>
          <w14:ligatures w14:val="none"/>
        </w:rPr>
        <w:t xml:space="preserve">TALK TITLE: </w:t>
      </w:r>
      <w:r w:rsidRPr="003D5726">
        <w:rPr>
          <w:rFonts w:ascii="Calibri" w:eastAsia="Times New Roman" w:hAnsi="Calibri" w:cs="Times New Roman"/>
          <w:b/>
          <w:bCs/>
          <w:kern w:val="0"/>
          <w:szCs w:val="22"/>
          <w14:ligatures w14:val="none"/>
        </w:rPr>
        <w:t xml:space="preserve">Researching in Archives </w:t>
      </w:r>
      <w:r>
        <w:rPr>
          <w:rFonts w:ascii="Calibri" w:eastAsia="Times New Roman" w:hAnsi="Calibri" w:cs="Times New Roman"/>
          <w:b/>
          <w:bCs/>
          <w:kern w:val="0"/>
          <w:szCs w:val="22"/>
          <w14:ligatures w14:val="none"/>
        </w:rPr>
        <w:t>for Professionals</w:t>
      </w:r>
    </w:p>
    <w:p w14:paraId="2B4D4362" w14:textId="77777777" w:rsidR="00433E56" w:rsidRDefault="00433E56" w:rsidP="00433E5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This talk</w:t>
      </w:r>
      <w:r w:rsidRPr="00424793">
        <w:rPr>
          <w:rFonts w:ascii="Calibri" w:eastAsia="Times New Roman" w:hAnsi="Calibri" w:cs="Times New Roman"/>
          <w:kern w:val="0"/>
          <w:szCs w:val="22"/>
          <w14:ligatures w14:val="none"/>
        </w:rPr>
        <w:t xml:space="preserve"> will offer something for everyone from</w:t>
      </w:r>
      <w:r>
        <w:rPr>
          <w:rFonts w:ascii="Calibri" w:eastAsia="Times New Roman" w:hAnsi="Calibri" w:cs="Times New Roman"/>
          <w:kern w:val="0"/>
          <w:szCs w:val="22"/>
          <w14:ligatures w14:val="none"/>
        </w:rPr>
        <w:t xml:space="preserve"> seasoned archive researchers to those who have yet to step foot in an archive. It will therefore provide both an introduction to researching in archives and </w:t>
      </w:r>
      <w:r w:rsidRPr="00424793">
        <w:rPr>
          <w:rFonts w:ascii="Calibri" w:eastAsia="Times New Roman" w:hAnsi="Calibri" w:cs="Times New Roman"/>
          <w:kern w:val="0"/>
          <w:szCs w:val="22"/>
          <w14:ligatures w14:val="none"/>
        </w:rPr>
        <w:t>offer a small insight into the type of information to be found</w:t>
      </w:r>
      <w:r>
        <w:rPr>
          <w:rFonts w:ascii="Calibri" w:eastAsia="Times New Roman" w:hAnsi="Calibri" w:cs="Times New Roman"/>
          <w:kern w:val="0"/>
          <w:szCs w:val="22"/>
          <w14:ligatures w14:val="none"/>
        </w:rPr>
        <w:t xml:space="preserve"> i</w:t>
      </w:r>
      <w:r w:rsidRPr="00424793">
        <w:rPr>
          <w:rFonts w:ascii="Calibri" w:eastAsia="Times New Roman" w:hAnsi="Calibri" w:cs="Times New Roman"/>
          <w:kern w:val="0"/>
          <w:szCs w:val="22"/>
          <w14:ligatures w14:val="none"/>
        </w:rPr>
        <w:t xml:space="preserve">n archives which may not be found elsewhere. </w:t>
      </w:r>
      <w:r>
        <w:rPr>
          <w:rFonts w:ascii="Calibri" w:eastAsia="Times New Roman" w:hAnsi="Calibri" w:cs="Times New Roman"/>
          <w:kern w:val="0"/>
          <w:szCs w:val="22"/>
          <w14:ligatures w14:val="none"/>
        </w:rPr>
        <w:t xml:space="preserve">It will also offer </w:t>
      </w:r>
      <w:r w:rsidRPr="00424793">
        <w:rPr>
          <w:rFonts w:ascii="Calibri" w:eastAsia="Times New Roman" w:hAnsi="Calibri" w:cs="Times New Roman"/>
          <w:kern w:val="0"/>
          <w:szCs w:val="22"/>
          <w14:ligatures w14:val="none"/>
        </w:rPr>
        <w:t>strategies for effective, respectful, and productive use of archival collections</w:t>
      </w:r>
      <w:r>
        <w:rPr>
          <w:rFonts w:ascii="Calibri" w:eastAsia="Times New Roman" w:hAnsi="Calibri" w:cs="Times New Roman"/>
          <w:kern w:val="0"/>
          <w:szCs w:val="22"/>
          <w14:ligatures w14:val="none"/>
        </w:rPr>
        <w:t xml:space="preserve"> for all focusing </w:t>
      </w:r>
      <w:r w:rsidRPr="00424793">
        <w:rPr>
          <w:rFonts w:ascii="Calibri" w:eastAsia="Times New Roman" w:hAnsi="Calibri" w:cs="Times New Roman"/>
          <w:kern w:val="0"/>
          <w:szCs w:val="22"/>
          <w14:ligatures w14:val="none"/>
        </w:rPr>
        <w:t>on how we</w:t>
      </w:r>
      <w:r>
        <w:rPr>
          <w:rFonts w:ascii="Calibri" w:eastAsia="Times New Roman" w:hAnsi="Calibri" w:cs="Times New Roman"/>
          <w:kern w:val="0"/>
          <w:szCs w:val="22"/>
          <w14:ligatures w14:val="none"/>
        </w:rPr>
        <w:t xml:space="preserve"> </w:t>
      </w:r>
      <w:r w:rsidRPr="00424793">
        <w:rPr>
          <w:rFonts w:ascii="Calibri" w:eastAsia="Times New Roman" w:hAnsi="Calibri" w:cs="Times New Roman"/>
          <w:kern w:val="0"/>
          <w:szCs w:val="22"/>
          <w14:ligatures w14:val="none"/>
        </w:rPr>
        <w:t>can get the most out of our time in archives. Many of us are frequent visitors. We know the thrill of opening a box of manuscripts or untying a bundle of papers. But as professionals, we also have additional responsibilities: working efficiently, documenting thoroughly, and collaborating respectfully with the staff and institutions that safeguard these collections</w:t>
      </w:r>
      <w:r>
        <w:rPr>
          <w:rFonts w:ascii="Calibri" w:eastAsia="Times New Roman" w:hAnsi="Calibri" w:cs="Times New Roman"/>
          <w:kern w:val="0"/>
          <w:szCs w:val="22"/>
          <w14:ligatures w14:val="none"/>
        </w:rPr>
        <w:t>.</w:t>
      </w:r>
    </w:p>
    <w:p w14:paraId="1CEEF931"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Tracing Your Surrey Ancestors: Navigating Challenges and Resources in Genealogical Research</w:t>
      </w:r>
    </w:p>
    <w:p w14:paraId="5B874C83" w14:textId="5744811F" w:rsidR="00E53323"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Often viewed as a rural retreat for London residents, Surrey presents unique challenges for genealogical research due to its shifting boundaries over the 19th and 20th centuries. This talk will guide you through the complexities of tracing Surrey ancestry, offering strategies to streamline your research journey. Learn about the essential archives and genealogical sources available, both online and in-person, and gain insights into where to find support from local Family History Societies. Join us to build a solid foundation for exploring your Surrey roots with confidence and precision.</w:t>
      </w:r>
    </w:p>
    <w:p w14:paraId="575AA150" w14:textId="3530CBF4" w:rsidR="00E53323" w:rsidRDefault="00E53323" w:rsidP="00E53323">
      <w:pPr>
        <w:spacing w:line="252" w:lineRule="auto"/>
        <w:rPr>
          <w:rFonts w:ascii="Calibri" w:eastAsia="Times New Roman" w:hAnsi="Calibri" w:cs="Times New Roman"/>
          <w:b/>
          <w:bCs/>
          <w:kern w:val="0"/>
          <w:szCs w:val="22"/>
          <w14:ligatures w14:val="none"/>
        </w:rPr>
      </w:pPr>
      <w:r>
        <w:rPr>
          <w:rFonts w:ascii="Calibri" w:eastAsia="Times New Roman" w:hAnsi="Calibri" w:cs="Times New Roman"/>
          <w:b/>
          <w:bCs/>
          <w:kern w:val="0"/>
          <w:szCs w:val="22"/>
          <w14:ligatures w14:val="none"/>
        </w:rPr>
        <w:t xml:space="preserve">TALK TITLE: Fleet </w:t>
      </w:r>
      <w:r w:rsidR="00D26300">
        <w:rPr>
          <w:rFonts w:ascii="Calibri" w:eastAsia="Times New Roman" w:hAnsi="Calibri" w:cs="Times New Roman"/>
          <w:b/>
          <w:bCs/>
          <w:kern w:val="0"/>
          <w:szCs w:val="22"/>
          <w14:ligatures w14:val="none"/>
        </w:rPr>
        <w:t>and</w:t>
      </w:r>
      <w:r w:rsidRPr="00E53323">
        <w:rPr>
          <w:rFonts w:ascii="Calibri" w:eastAsia="Times New Roman" w:hAnsi="Calibri" w:cs="Times New Roman"/>
          <w:b/>
          <w:bCs/>
          <w:kern w:val="0"/>
          <w:szCs w:val="22"/>
          <w14:ligatures w14:val="none"/>
        </w:rPr>
        <w:t xml:space="preserve"> Clandestine Marriages: C17th/18th Love, loopholes and law</w:t>
      </w:r>
      <w:r>
        <w:rPr>
          <w:rFonts w:ascii="Calibri" w:eastAsia="Times New Roman" w:hAnsi="Calibri" w:cs="Times New Roman"/>
          <w:b/>
          <w:bCs/>
          <w:kern w:val="0"/>
          <w:szCs w:val="22"/>
          <w14:ligatures w14:val="none"/>
        </w:rPr>
        <w:t xml:space="preserve"> </w:t>
      </w:r>
    </w:p>
    <w:p w14:paraId="6C9F2CBC" w14:textId="3CE73481" w:rsidR="00E53323" w:rsidRDefault="00E53323" w:rsidP="00E53323">
      <w:pPr>
        <w:spacing w:line="252" w:lineRule="auto"/>
        <w:rPr>
          <w:rFonts w:ascii="Calibri" w:eastAsia="Times New Roman" w:hAnsi="Calibri" w:cs="Times New Roman"/>
          <w:kern w:val="0"/>
          <w:szCs w:val="22"/>
          <w14:ligatures w14:val="none"/>
        </w:rPr>
      </w:pPr>
      <w:r w:rsidRPr="00E53323">
        <w:rPr>
          <w:rFonts w:ascii="Calibri" w:eastAsia="Times New Roman" w:hAnsi="Calibri" w:cs="Times New Roman"/>
          <w:kern w:val="0"/>
          <w:szCs w:val="22"/>
          <w14:ligatures w14:val="none"/>
        </w:rPr>
        <w:t xml:space="preserve">This talk </w:t>
      </w:r>
      <w:r>
        <w:rPr>
          <w:rFonts w:ascii="Calibri" w:eastAsia="Times New Roman" w:hAnsi="Calibri" w:cs="Times New Roman"/>
          <w:kern w:val="0"/>
          <w:szCs w:val="22"/>
          <w14:ligatures w14:val="none"/>
        </w:rPr>
        <w:t>focuses on</w:t>
      </w:r>
      <w:r w:rsidRPr="00E53323">
        <w:rPr>
          <w:rFonts w:ascii="Calibri" w:eastAsia="Times New Roman" w:hAnsi="Calibri" w:cs="Times New Roman"/>
          <w:kern w:val="0"/>
          <w:szCs w:val="22"/>
          <w14:ligatures w14:val="none"/>
        </w:rPr>
        <w:t xml:space="preserve"> the hidden world of 17th- and 18th-century clandestine marriages, focusing on the notorious Fleet Prison where thousands wed quickly, cheaply, and often secretly. Exploring why couples chose these irregular unions, how they were carried out, and the controversies they sparked</w:t>
      </w:r>
      <w:r>
        <w:rPr>
          <w:rFonts w:ascii="Calibri" w:eastAsia="Times New Roman" w:hAnsi="Calibri" w:cs="Times New Roman"/>
          <w:kern w:val="0"/>
          <w:szCs w:val="22"/>
          <w14:ligatures w14:val="none"/>
        </w:rPr>
        <w:t>. T</w:t>
      </w:r>
      <w:r w:rsidRPr="00E53323">
        <w:rPr>
          <w:rFonts w:ascii="Calibri" w:eastAsia="Times New Roman" w:hAnsi="Calibri" w:cs="Times New Roman"/>
          <w:kern w:val="0"/>
          <w:szCs w:val="22"/>
          <w14:ligatures w14:val="none"/>
        </w:rPr>
        <w:t xml:space="preserve">he talk traces the growing pressure for reform that ultimately led to the Marriage Act of 1753—reshaping English marriage law and leaving a lasting legacy for historians and family researchers. </w:t>
      </w:r>
    </w:p>
    <w:p w14:paraId="1B18D14F" w14:textId="4CAEE54A" w:rsidR="003D5726" w:rsidRPr="003D5726" w:rsidRDefault="003D5726" w:rsidP="00E53323">
      <w:pPr>
        <w:spacing w:line="252" w:lineRule="auto"/>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Deeds and Land records for family and house history research</w:t>
      </w:r>
    </w:p>
    <w:p w14:paraId="22228005"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 xml:space="preserve">This talk takes a journey into the world of deeds - documents that may seem dry at first glance but can be treasure troves of history. These records not only help us trace the ownership of land and houses, but also open windows into the lives, relationships, and communities of the past. Landholding isn’t just about property—it’s about power, wealth, inheritance, and identity. Whether your ancestors were lords of the manor or humble tenants, the type of landholding shaped their lives and left behind a paper trail we can follow to enhance and enrich our ancestors lives and the properties in which they lived. </w:t>
      </w:r>
    </w:p>
    <w:p w14:paraId="2809D5D1" w14:textId="3D1C3FC3"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Using Manorial Court records for family and house history</w:t>
      </w:r>
    </w:p>
    <w:p w14:paraId="1C5C6D73"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Using a case study this talk will introduce you to manorial court records and demonstrate how they can be used for both family and house history research, tracing the same property firstly, forward from 1835 to its enfranchisement in 1894, and secondly backwards from 1835 into Latin records to 1705.</w:t>
      </w:r>
    </w:p>
    <w:p w14:paraId="20DF82EF"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Using Manorial court records to trace family connections</w:t>
      </w:r>
    </w:p>
    <w:p w14:paraId="39AEE078"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 xml:space="preserve">Tracing family histories in small communities often presents the challenge of distinguishing between individuals with the same name, particularly in closely-knit or intermarried families. This talk delves into the rich but underutilized resource of manorial court records and will demonstrate how these records can clarify familial connections, resolve ambiguities, and provide deeper insights into the social and economic lives of ancestors. </w:t>
      </w:r>
      <w:r w:rsidRPr="003D5726">
        <w:rPr>
          <w:rFonts w:ascii="Calibri" w:eastAsia="Times New Roman" w:hAnsi="Calibri" w:cs="Times New Roman"/>
          <w:kern w:val="0"/>
          <w:szCs w:val="22"/>
          <w14:ligatures w14:val="none"/>
        </w:rPr>
        <w:lastRenderedPageBreak/>
        <w:t>Attendees will gain practical strategies for using manorial records to reconstruct family trees, unravel complex relationships, and appreciate the broader historical context in which these families lived.</w:t>
      </w:r>
    </w:p>
    <w:p w14:paraId="04E626AD" w14:textId="5EAFC7E9"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w:t>
      </w:r>
      <w:r>
        <w:rPr>
          <w:rFonts w:ascii="Calibri" w:eastAsia="Times New Roman" w:hAnsi="Calibri" w:cs="Times New Roman"/>
          <w:b/>
          <w:bCs/>
          <w:kern w:val="0"/>
          <w:szCs w:val="22"/>
          <w14:ligatures w14:val="none"/>
        </w:rPr>
        <w:t xml:space="preserve"> </w:t>
      </w:r>
      <w:r w:rsidRPr="003D5726">
        <w:rPr>
          <w:rFonts w:ascii="Calibri" w:eastAsia="Times New Roman" w:hAnsi="Calibri" w:cs="Times New Roman"/>
          <w:b/>
          <w:bCs/>
          <w:kern w:val="0"/>
          <w:szCs w:val="22"/>
          <w14:ligatures w14:val="none"/>
        </w:rPr>
        <w:t>Records for the Manor: Going Beyond the Court Rolls</w:t>
      </w:r>
    </w:p>
    <w:p w14:paraId="0C666E7A" w14:textId="77777777" w:rsid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This talk will go beyond traditional court rolls and to explore ancillary documents such as surveys, which can offer further insight into local community in which our ancestors lived.</w:t>
      </w:r>
    </w:p>
    <w:p w14:paraId="3C869854" w14:textId="77777777" w:rsidR="00D26300" w:rsidRPr="00D26300" w:rsidRDefault="00D26300" w:rsidP="00D26300">
      <w:pPr>
        <w:spacing w:line="252" w:lineRule="auto"/>
        <w:jc w:val="both"/>
        <w:rPr>
          <w:rFonts w:ascii="Calibri" w:eastAsia="Times New Roman" w:hAnsi="Calibri" w:cs="Times New Roman"/>
          <w:b/>
          <w:bCs/>
          <w:kern w:val="0"/>
          <w:szCs w:val="22"/>
          <w14:ligatures w14:val="none"/>
        </w:rPr>
      </w:pPr>
      <w:r w:rsidRPr="00D26300">
        <w:rPr>
          <w:rFonts w:ascii="Calibri" w:eastAsia="Times New Roman" w:hAnsi="Calibri" w:cs="Times New Roman"/>
          <w:b/>
          <w:bCs/>
          <w:kern w:val="0"/>
          <w:szCs w:val="22"/>
          <w14:ligatures w14:val="none"/>
        </w:rPr>
        <w:t>TALK TITLE: Common Law Courts before 1875 – Litigating Ancestors</w:t>
      </w:r>
    </w:p>
    <w:p w14:paraId="128EAFB3" w14:textId="77777777" w:rsidR="00D26300" w:rsidRPr="00D26300" w:rsidRDefault="00D26300" w:rsidP="00D26300">
      <w:pPr>
        <w:spacing w:line="252" w:lineRule="auto"/>
        <w:jc w:val="both"/>
        <w:rPr>
          <w:rFonts w:ascii="Calibri" w:eastAsia="Times New Roman" w:hAnsi="Calibri" w:cs="Times New Roman"/>
          <w:kern w:val="0"/>
          <w:szCs w:val="22"/>
          <w14:ligatures w14:val="none"/>
        </w:rPr>
      </w:pPr>
      <w:r w:rsidRPr="00D26300">
        <w:rPr>
          <w:rFonts w:ascii="Calibri" w:eastAsia="Times New Roman" w:hAnsi="Calibri" w:cs="Times New Roman"/>
          <w:kern w:val="0"/>
          <w:szCs w:val="22"/>
          <w14:ligatures w14:val="none"/>
        </w:rPr>
        <w:t>This talk looks at the three main common law courts – Kings Bench, Common Pleas and Exchequer Pleas – their development, different functions and records being a well-established system of courts, judges and professionals  from the 13th century to today, producing written records of proceedings, helping you uncover the litigation which effected and influenced the lives of our ancestors.</w:t>
      </w:r>
    </w:p>
    <w:p w14:paraId="06F7300F" w14:textId="77777777" w:rsidR="00D26300" w:rsidRPr="00D26300" w:rsidRDefault="00D26300" w:rsidP="00D26300">
      <w:pPr>
        <w:spacing w:line="252" w:lineRule="auto"/>
        <w:jc w:val="both"/>
        <w:rPr>
          <w:rFonts w:ascii="Calibri" w:eastAsia="Times New Roman" w:hAnsi="Calibri" w:cs="Times New Roman"/>
          <w:b/>
          <w:bCs/>
          <w:kern w:val="0"/>
          <w:szCs w:val="22"/>
          <w14:ligatures w14:val="none"/>
        </w:rPr>
      </w:pPr>
      <w:r w:rsidRPr="00D26300">
        <w:rPr>
          <w:rFonts w:ascii="Calibri" w:eastAsia="Times New Roman" w:hAnsi="Calibri" w:cs="Times New Roman"/>
          <w:b/>
          <w:bCs/>
          <w:kern w:val="0"/>
          <w:szCs w:val="22"/>
          <w14:ligatures w14:val="none"/>
        </w:rPr>
        <w:t>TALK TITLE: Criminal Courts before 1971</w:t>
      </w:r>
    </w:p>
    <w:p w14:paraId="53FB749B" w14:textId="77777777" w:rsidR="00D26300" w:rsidRPr="00D26300" w:rsidRDefault="00D26300" w:rsidP="00D26300">
      <w:pPr>
        <w:spacing w:line="252" w:lineRule="auto"/>
        <w:jc w:val="both"/>
        <w:rPr>
          <w:rFonts w:ascii="Calibri" w:eastAsia="Times New Roman" w:hAnsi="Calibri" w:cs="Times New Roman"/>
          <w:kern w:val="0"/>
          <w:szCs w:val="22"/>
          <w14:ligatures w14:val="none"/>
        </w:rPr>
      </w:pPr>
      <w:r w:rsidRPr="00D26300">
        <w:rPr>
          <w:rFonts w:ascii="Calibri" w:eastAsia="Times New Roman" w:hAnsi="Calibri" w:cs="Times New Roman"/>
          <w:kern w:val="0"/>
          <w:szCs w:val="22"/>
          <w14:ligatures w14:val="none"/>
        </w:rPr>
        <w:t xml:space="preserve">This talk will provide you with an insight into how the criminal court system developed, the main courts involved and the records which are available and where to find them. The talk will provide examples of some of the record available able the type of information available on our ancestors and where that information may lead our research. </w:t>
      </w:r>
    </w:p>
    <w:p w14:paraId="09A404C1"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A Practical approach to Chancery Court records</w:t>
      </w:r>
    </w:p>
    <w:p w14:paraId="7457171C"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Chancery records are one of the most under used resources for family history. Part of their difficulty is in actually finding the records, as many remain uncatalogued in the TNA catalogue. With the records disbursed so that not all records for a case are held together, the aim of the talk is to demonstrate where to find and how to use finding aids to locate the various types of Chancery records.</w:t>
      </w:r>
    </w:p>
    <w:p w14:paraId="4C1E7373"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Hidden legacies: What Chancery Records Reveal about our ancestors</w:t>
      </w:r>
    </w:p>
    <w:p w14:paraId="473FDA5E"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 xml:space="preserve">Chancery records are one of the most under used resources for family history but can reveal so much about our ancestors’ lives, their family, social and business connections, and their property. This talk will look at who and why our ancestors may have become involved in Chancery court case and explore the hidden stories to be found. </w:t>
      </w:r>
    </w:p>
    <w:p w14:paraId="77A92EF2"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The changing face of the Chancery court cases</w:t>
      </w:r>
    </w:p>
    <w:p w14:paraId="307B0236"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This talk would look at the similarities and differences</w:t>
      </w:r>
      <w:r w:rsidRPr="003D5726">
        <w:rPr>
          <w:rFonts w:ascii="Calibri" w:eastAsia="Times New Roman" w:hAnsi="Calibri" w:cs="Times New Roman"/>
          <w:b/>
          <w:bCs/>
          <w:kern w:val="0"/>
          <w:szCs w:val="22"/>
          <w14:ligatures w14:val="none"/>
        </w:rPr>
        <w:t xml:space="preserve"> </w:t>
      </w:r>
      <w:r w:rsidRPr="003D5726">
        <w:rPr>
          <w:rFonts w:ascii="Calibri" w:eastAsia="Times New Roman" w:hAnsi="Calibri" w:cs="Times New Roman"/>
          <w:kern w:val="0"/>
          <w:szCs w:val="22"/>
          <w14:ligatures w14:val="none"/>
        </w:rPr>
        <w:t>in the types of cases, the court procedure court, and locating case records pre and post 1875. It will also include changes since 1875 up to the introduction of the civil procedure rules in 1997, which remain in place today. This talk would be valuable for those researching 20</w:t>
      </w:r>
      <w:r w:rsidRPr="003D5726">
        <w:rPr>
          <w:rFonts w:ascii="Calibri" w:eastAsia="Times New Roman" w:hAnsi="Calibri" w:cs="Times New Roman"/>
          <w:kern w:val="0"/>
          <w:szCs w:val="22"/>
          <w:vertAlign w:val="superscript"/>
          <w14:ligatures w14:val="none"/>
        </w:rPr>
        <w:t>th</w:t>
      </w:r>
      <w:r w:rsidRPr="003D5726">
        <w:rPr>
          <w:rFonts w:ascii="Calibri" w:eastAsia="Times New Roman" w:hAnsi="Calibri" w:cs="Times New Roman"/>
          <w:kern w:val="0"/>
          <w:szCs w:val="22"/>
          <w14:ligatures w14:val="none"/>
        </w:rPr>
        <w:t xml:space="preserve"> century Chancery court (and other civil court) records</w:t>
      </w:r>
    </w:p>
    <w:p w14:paraId="7A1094AD"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Property litigation – beyond the Court of Chancery</w:t>
      </w:r>
    </w:p>
    <w:p w14:paraId="6924A07D"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Property litigation was not only found in the Court of Chancery. This talk will look at the different equity law courts which have existed since the 14</w:t>
      </w:r>
      <w:r w:rsidRPr="003D5726">
        <w:rPr>
          <w:rFonts w:ascii="Calibri" w:eastAsia="Times New Roman" w:hAnsi="Calibri" w:cs="Times New Roman"/>
          <w:kern w:val="0"/>
          <w:szCs w:val="22"/>
          <w:vertAlign w:val="superscript"/>
          <w14:ligatures w14:val="none"/>
        </w:rPr>
        <w:t>th</w:t>
      </w:r>
      <w:r w:rsidRPr="003D5726">
        <w:rPr>
          <w:rFonts w:ascii="Calibri" w:eastAsia="Times New Roman" w:hAnsi="Calibri" w:cs="Times New Roman"/>
          <w:kern w:val="0"/>
          <w:szCs w:val="22"/>
          <w14:ligatures w14:val="none"/>
        </w:rPr>
        <w:t xml:space="preserve"> century, their similarities and differences, along with their records which can help enrich the history of our ancestors. </w:t>
      </w:r>
    </w:p>
    <w:p w14:paraId="0DF8D474" w14:textId="0E684330"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The civil side of Quarter Sessions</w:t>
      </w:r>
      <w:r>
        <w:rPr>
          <w:rFonts w:ascii="Calibri" w:eastAsia="Times New Roman" w:hAnsi="Calibri" w:cs="Times New Roman"/>
          <w:b/>
          <w:bCs/>
          <w:kern w:val="0"/>
          <w:szCs w:val="22"/>
          <w14:ligatures w14:val="none"/>
        </w:rPr>
        <w:t xml:space="preserve"> before 1888</w:t>
      </w:r>
    </w:p>
    <w:p w14:paraId="1DFB259B"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 xml:space="preserve">QSs not only dealt with criminals but were the local governments of their time (before the Local Government Act 1888) and their civil records can provide a great deal of information about our ancestors, their local community and society. This talk will explore some of the extensive records which can be found, and their use for family history. </w:t>
      </w:r>
    </w:p>
    <w:p w14:paraId="7D389BA3"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t>TALK TITLE: Church Courts</w:t>
      </w:r>
    </w:p>
    <w:p w14:paraId="7FB7A7BC"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Which church courts were the authority for probate matters, they were also so much more. Often referred to as the Bawdy courts because of the type of matters they dealt with, the church court records can provide a unique insight into the lives of our ancestors from their religious beliefs to their morality, spirituality and ‘sins’ leaving behind are treasure troves for genealogists.</w:t>
      </w:r>
    </w:p>
    <w:p w14:paraId="43AACA50" w14:textId="77777777" w:rsidR="003D5726" w:rsidRPr="003D5726" w:rsidRDefault="003D5726" w:rsidP="003D5726">
      <w:pPr>
        <w:spacing w:line="252" w:lineRule="auto"/>
        <w:jc w:val="both"/>
        <w:rPr>
          <w:rFonts w:ascii="Calibri" w:eastAsia="Times New Roman" w:hAnsi="Calibri" w:cs="Times New Roman"/>
          <w:b/>
          <w:bCs/>
          <w:kern w:val="0"/>
          <w:szCs w:val="22"/>
          <w14:ligatures w14:val="none"/>
        </w:rPr>
      </w:pPr>
      <w:r w:rsidRPr="003D5726">
        <w:rPr>
          <w:rFonts w:ascii="Calibri" w:eastAsia="Times New Roman" w:hAnsi="Calibri" w:cs="Times New Roman"/>
          <w:b/>
          <w:bCs/>
          <w:kern w:val="0"/>
          <w:szCs w:val="22"/>
          <w14:ligatures w14:val="none"/>
        </w:rPr>
        <w:lastRenderedPageBreak/>
        <w:t>TALK TITLE: Researching your legal ancestors</w:t>
      </w:r>
    </w:p>
    <w:p w14:paraId="0A203203" w14:textId="77777777" w:rsidR="003D5726" w:rsidRPr="003D5726" w:rsidRDefault="003D5726" w:rsidP="003D5726">
      <w:pPr>
        <w:spacing w:line="252" w:lineRule="auto"/>
        <w:jc w:val="both"/>
        <w:rPr>
          <w:rFonts w:ascii="Calibri" w:eastAsia="Times New Roman" w:hAnsi="Calibri" w:cs="Times New Roman"/>
          <w:kern w:val="0"/>
          <w:szCs w:val="22"/>
          <w14:ligatures w14:val="none"/>
        </w:rPr>
      </w:pPr>
      <w:r w:rsidRPr="003D5726">
        <w:rPr>
          <w:rFonts w:ascii="Calibri" w:eastAsia="Times New Roman" w:hAnsi="Calibri" w:cs="Times New Roman"/>
          <w:kern w:val="0"/>
          <w:szCs w:val="22"/>
          <w14:ligatures w14:val="none"/>
        </w:rPr>
        <w:t>Before 1907 when the Law Society was first empowered to issue annual practising certificates for solicitors, the legal world was essentially de-centralized, and those working in it often left behind a surprisingly rich, though scattered, paper trail. These records can add detail to your family tree, reveal education, training, networks, trace apprenticeships and legal disputes and understand their local role in justice. This talk will take you through the various, surprisingly easy to access, records available for every level of those working in the legal practice.</w:t>
      </w:r>
    </w:p>
    <w:p w14:paraId="63997156" w14:textId="5D5900C9" w:rsidR="003D5726" w:rsidRDefault="003D5726" w:rsidP="003D5726">
      <w:pPr>
        <w:spacing w:line="252" w:lineRule="auto"/>
        <w:jc w:val="both"/>
        <w:rPr>
          <w:rFonts w:ascii="Calibri" w:eastAsia="Times New Roman" w:hAnsi="Calibri" w:cs="Times New Roman"/>
          <w:kern w:val="0"/>
          <w:szCs w:val="22"/>
          <w14:ligatures w14:val="none"/>
        </w:rPr>
      </w:pPr>
    </w:p>
    <w:sectPr w:rsidR="003D57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726"/>
    <w:rsid w:val="00053DD7"/>
    <w:rsid w:val="003D5726"/>
    <w:rsid w:val="00433E56"/>
    <w:rsid w:val="007B7538"/>
    <w:rsid w:val="00AA35B6"/>
    <w:rsid w:val="00B046E4"/>
    <w:rsid w:val="00D26300"/>
    <w:rsid w:val="00D51DEA"/>
    <w:rsid w:val="00E12768"/>
    <w:rsid w:val="00E53323"/>
    <w:rsid w:val="00EC456D"/>
    <w:rsid w:val="00F40A3A"/>
    <w:rsid w:val="00FF0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67180"/>
  <w15:chartTrackingRefBased/>
  <w15:docId w15:val="{79958211-7AAC-42D3-B839-C45F3E676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DD7"/>
    <w:rPr>
      <w:rFonts w:ascii="Aptos" w:hAnsi="Aptos"/>
      <w:sz w:val="20"/>
    </w:rPr>
  </w:style>
  <w:style w:type="paragraph" w:styleId="Heading1">
    <w:name w:val="heading 1"/>
    <w:basedOn w:val="Normal"/>
    <w:next w:val="Normal"/>
    <w:link w:val="Heading1Char"/>
    <w:uiPriority w:val="9"/>
    <w:qFormat/>
    <w:rsid w:val="003D57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57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572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572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D572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572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572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572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572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57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57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57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5726"/>
    <w:rPr>
      <w:rFonts w:eastAsiaTheme="majorEastAsia" w:cstheme="majorBidi"/>
      <w:i/>
      <w:iCs/>
      <w:color w:val="0F4761" w:themeColor="accent1" w:themeShade="BF"/>
      <w:sz w:val="20"/>
    </w:rPr>
  </w:style>
  <w:style w:type="character" w:customStyle="1" w:styleId="Heading5Char">
    <w:name w:val="Heading 5 Char"/>
    <w:basedOn w:val="DefaultParagraphFont"/>
    <w:link w:val="Heading5"/>
    <w:uiPriority w:val="9"/>
    <w:semiHidden/>
    <w:rsid w:val="003D5726"/>
    <w:rPr>
      <w:rFonts w:eastAsiaTheme="majorEastAsia" w:cstheme="majorBidi"/>
      <w:color w:val="0F4761" w:themeColor="accent1" w:themeShade="BF"/>
      <w:sz w:val="20"/>
    </w:rPr>
  </w:style>
  <w:style w:type="character" w:customStyle="1" w:styleId="Heading6Char">
    <w:name w:val="Heading 6 Char"/>
    <w:basedOn w:val="DefaultParagraphFont"/>
    <w:link w:val="Heading6"/>
    <w:uiPriority w:val="9"/>
    <w:semiHidden/>
    <w:rsid w:val="003D5726"/>
    <w:rPr>
      <w:rFonts w:eastAsiaTheme="majorEastAsia" w:cstheme="majorBidi"/>
      <w:i/>
      <w:iCs/>
      <w:color w:val="595959" w:themeColor="text1" w:themeTint="A6"/>
      <w:sz w:val="20"/>
    </w:rPr>
  </w:style>
  <w:style w:type="character" w:customStyle="1" w:styleId="Heading7Char">
    <w:name w:val="Heading 7 Char"/>
    <w:basedOn w:val="DefaultParagraphFont"/>
    <w:link w:val="Heading7"/>
    <w:uiPriority w:val="9"/>
    <w:semiHidden/>
    <w:rsid w:val="003D5726"/>
    <w:rPr>
      <w:rFonts w:eastAsiaTheme="majorEastAsia" w:cstheme="majorBidi"/>
      <w:color w:val="595959" w:themeColor="text1" w:themeTint="A6"/>
      <w:sz w:val="20"/>
    </w:rPr>
  </w:style>
  <w:style w:type="character" w:customStyle="1" w:styleId="Heading8Char">
    <w:name w:val="Heading 8 Char"/>
    <w:basedOn w:val="DefaultParagraphFont"/>
    <w:link w:val="Heading8"/>
    <w:uiPriority w:val="9"/>
    <w:semiHidden/>
    <w:rsid w:val="003D5726"/>
    <w:rPr>
      <w:rFonts w:eastAsiaTheme="majorEastAsia" w:cstheme="majorBidi"/>
      <w:i/>
      <w:iCs/>
      <w:color w:val="272727" w:themeColor="text1" w:themeTint="D8"/>
      <w:sz w:val="20"/>
    </w:rPr>
  </w:style>
  <w:style w:type="character" w:customStyle="1" w:styleId="Heading9Char">
    <w:name w:val="Heading 9 Char"/>
    <w:basedOn w:val="DefaultParagraphFont"/>
    <w:link w:val="Heading9"/>
    <w:uiPriority w:val="9"/>
    <w:semiHidden/>
    <w:rsid w:val="003D5726"/>
    <w:rPr>
      <w:rFonts w:eastAsiaTheme="majorEastAsia" w:cstheme="majorBidi"/>
      <w:color w:val="272727" w:themeColor="text1" w:themeTint="D8"/>
      <w:sz w:val="20"/>
    </w:rPr>
  </w:style>
  <w:style w:type="paragraph" w:styleId="Title">
    <w:name w:val="Title"/>
    <w:basedOn w:val="Normal"/>
    <w:next w:val="Normal"/>
    <w:link w:val="TitleChar"/>
    <w:uiPriority w:val="10"/>
    <w:qFormat/>
    <w:rsid w:val="003D57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7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572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57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5726"/>
    <w:pPr>
      <w:spacing w:before="160"/>
      <w:jc w:val="center"/>
    </w:pPr>
    <w:rPr>
      <w:i/>
      <w:iCs/>
      <w:color w:val="404040" w:themeColor="text1" w:themeTint="BF"/>
    </w:rPr>
  </w:style>
  <w:style w:type="character" w:customStyle="1" w:styleId="QuoteChar">
    <w:name w:val="Quote Char"/>
    <w:basedOn w:val="DefaultParagraphFont"/>
    <w:link w:val="Quote"/>
    <w:uiPriority w:val="29"/>
    <w:rsid w:val="003D5726"/>
    <w:rPr>
      <w:rFonts w:ascii="Aptos" w:hAnsi="Aptos"/>
      <w:i/>
      <w:iCs/>
      <w:color w:val="404040" w:themeColor="text1" w:themeTint="BF"/>
      <w:sz w:val="20"/>
    </w:rPr>
  </w:style>
  <w:style w:type="paragraph" w:styleId="ListParagraph">
    <w:name w:val="List Paragraph"/>
    <w:basedOn w:val="Normal"/>
    <w:uiPriority w:val="34"/>
    <w:qFormat/>
    <w:rsid w:val="003D5726"/>
    <w:pPr>
      <w:ind w:left="720"/>
      <w:contextualSpacing/>
    </w:pPr>
  </w:style>
  <w:style w:type="character" w:styleId="IntenseEmphasis">
    <w:name w:val="Intense Emphasis"/>
    <w:basedOn w:val="DefaultParagraphFont"/>
    <w:uiPriority w:val="21"/>
    <w:qFormat/>
    <w:rsid w:val="003D5726"/>
    <w:rPr>
      <w:i/>
      <w:iCs/>
      <w:color w:val="0F4761" w:themeColor="accent1" w:themeShade="BF"/>
    </w:rPr>
  </w:style>
  <w:style w:type="paragraph" w:styleId="IntenseQuote">
    <w:name w:val="Intense Quote"/>
    <w:basedOn w:val="Normal"/>
    <w:next w:val="Normal"/>
    <w:link w:val="IntenseQuoteChar"/>
    <w:uiPriority w:val="30"/>
    <w:qFormat/>
    <w:rsid w:val="003D57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5726"/>
    <w:rPr>
      <w:rFonts w:ascii="Aptos" w:hAnsi="Aptos"/>
      <w:i/>
      <w:iCs/>
      <w:color w:val="0F4761" w:themeColor="accent1" w:themeShade="BF"/>
      <w:sz w:val="20"/>
    </w:rPr>
  </w:style>
  <w:style w:type="character" w:styleId="IntenseReference">
    <w:name w:val="Intense Reference"/>
    <w:basedOn w:val="DefaultParagraphFont"/>
    <w:uiPriority w:val="32"/>
    <w:qFormat/>
    <w:rsid w:val="003D57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60</TotalTime>
  <Pages>3</Pages>
  <Words>1315</Words>
  <Characters>7499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Pettyfer</dc:creator>
  <cp:keywords/>
  <dc:description/>
  <cp:lastModifiedBy>Sarah Pettyfer</cp:lastModifiedBy>
  <cp:revision>6</cp:revision>
  <dcterms:created xsi:type="dcterms:W3CDTF">2025-08-01T14:33:00Z</dcterms:created>
  <dcterms:modified xsi:type="dcterms:W3CDTF">2025-12-11T09:13:00Z</dcterms:modified>
</cp:coreProperties>
</file>